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92B5" w14:textId="1DE7DA27" w:rsidR="00066172" w:rsidRDefault="00066172" w:rsidP="001179A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u w:val="single"/>
          <w:lang w:val="tr-TR"/>
        </w:rPr>
      </w:pPr>
      <w:r w:rsidRPr="00E3622A">
        <w:rPr>
          <w:rFonts w:ascii="Times New Roman" w:hAnsi="Times New Roman"/>
          <w:b/>
          <w:sz w:val="24"/>
          <w:szCs w:val="24"/>
          <w:u w:val="single"/>
          <w:lang w:val="tr-TR"/>
        </w:rPr>
        <w:t>CDP Türkiye 201</w:t>
      </w:r>
      <w:r>
        <w:rPr>
          <w:rFonts w:ascii="Times New Roman" w:hAnsi="Times New Roman"/>
          <w:b/>
          <w:sz w:val="24"/>
          <w:szCs w:val="24"/>
          <w:u w:val="single"/>
          <w:lang w:val="tr-TR"/>
        </w:rPr>
        <w:t>8</w:t>
      </w:r>
      <w:r w:rsidRPr="00E3622A">
        <w:rPr>
          <w:rFonts w:ascii="Times New Roman" w:hAnsi="Times New Roman"/>
          <w:b/>
          <w:sz w:val="24"/>
          <w:szCs w:val="24"/>
          <w:u w:val="single"/>
          <w:lang w:val="tr-TR"/>
        </w:rPr>
        <w:t xml:space="preserve"> İklim Değişikliği </w:t>
      </w:r>
      <w:r w:rsidR="001179A7">
        <w:rPr>
          <w:rFonts w:ascii="Times New Roman" w:hAnsi="Times New Roman"/>
          <w:b/>
          <w:sz w:val="24"/>
          <w:szCs w:val="24"/>
          <w:u w:val="single"/>
          <w:lang w:val="tr-TR"/>
        </w:rPr>
        <w:t xml:space="preserve">ve Su </w:t>
      </w:r>
      <w:r w:rsidRPr="00E3622A">
        <w:rPr>
          <w:rFonts w:ascii="Times New Roman" w:hAnsi="Times New Roman"/>
          <w:b/>
          <w:sz w:val="24"/>
          <w:szCs w:val="24"/>
          <w:u w:val="single"/>
          <w:lang w:val="tr-TR"/>
        </w:rPr>
        <w:t>Raporu Bulguları</w:t>
      </w:r>
    </w:p>
    <w:p w14:paraId="62A8C0F0" w14:textId="7EFEAEEB" w:rsidR="001179A7" w:rsidRDefault="001179A7" w:rsidP="001179A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u w:val="single"/>
          <w:lang w:val="tr-TR"/>
        </w:rPr>
      </w:pPr>
    </w:p>
    <w:p w14:paraId="0B89779E" w14:textId="3E440B5A" w:rsidR="001179A7" w:rsidRPr="001179A7" w:rsidRDefault="001179A7" w:rsidP="001179A7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tr-TR"/>
        </w:rPr>
      </w:pPr>
      <w:r w:rsidRPr="001179A7">
        <w:rPr>
          <w:rFonts w:ascii="Times New Roman" w:hAnsi="Times New Roman"/>
          <w:b/>
          <w:sz w:val="24"/>
          <w:szCs w:val="24"/>
          <w:lang w:val="tr-TR"/>
        </w:rPr>
        <w:t xml:space="preserve">CDP İklim Değişikliği 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Programı </w:t>
      </w:r>
      <w:r w:rsidR="005A6698">
        <w:rPr>
          <w:rFonts w:ascii="Times New Roman" w:hAnsi="Times New Roman"/>
          <w:b/>
          <w:sz w:val="24"/>
          <w:szCs w:val="24"/>
          <w:lang w:val="tr-TR"/>
        </w:rPr>
        <w:t>2018 yılı b</w:t>
      </w:r>
      <w:r>
        <w:rPr>
          <w:rFonts w:ascii="Times New Roman" w:hAnsi="Times New Roman"/>
          <w:b/>
          <w:sz w:val="24"/>
          <w:szCs w:val="24"/>
          <w:lang w:val="tr-TR"/>
        </w:rPr>
        <w:t>ulguları</w:t>
      </w:r>
      <w:r w:rsidR="005A6698">
        <w:rPr>
          <w:rFonts w:ascii="Times New Roman" w:hAnsi="Times New Roman"/>
          <w:b/>
          <w:sz w:val="24"/>
          <w:szCs w:val="24"/>
          <w:lang w:val="tr-TR"/>
        </w:rPr>
        <w:t>:</w:t>
      </w:r>
    </w:p>
    <w:p w14:paraId="7EB1AC15" w14:textId="77777777" w:rsidR="001179A7" w:rsidRPr="00E3622A" w:rsidRDefault="001179A7" w:rsidP="00066172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  <w:u w:val="single"/>
          <w:lang w:val="tr-TR"/>
        </w:rPr>
      </w:pPr>
    </w:p>
    <w:p w14:paraId="66DE11FA" w14:textId="456218A0" w:rsidR="00066172" w:rsidRDefault="00066172" w:rsidP="0006617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E3622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CDP Türkiye İklim Değişikliği Programı’nın </w:t>
      </w:r>
      <w:r w:rsidR="001179A7">
        <w:rPr>
          <w:rFonts w:ascii="Times New Roman" w:eastAsia="Times New Roman" w:hAnsi="Times New Roman"/>
          <w:bCs/>
          <w:sz w:val="24"/>
          <w:szCs w:val="24"/>
          <w:lang w:eastAsia="tr-TR"/>
        </w:rPr>
        <w:t>dokuzuncu</w:t>
      </w:r>
      <w:r w:rsidRPr="00E3622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yılında, Türkiye’den davet alan ve BIST-100 Endeksi içinde yer alan 100 şirketin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38’</w:t>
      </w:r>
      <w:r w:rsidRPr="00E3622A">
        <w:rPr>
          <w:rFonts w:ascii="Times New Roman" w:eastAsia="Times New Roman" w:hAnsi="Times New Roman"/>
          <w:bCs/>
          <w:sz w:val="24"/>
          <w:szCs w:val="24"/>
          <w:lang w:eastAsia="tr-TR"/>
        </w:rPr>
        <w:t>i CDP’ye yanıt verdi. Örneklem dışında kalan ve doğrudan davet almadığı halde gönüllü olarak raporlama yapan şirket sayısı ise 1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0 oldu</w:t>
      </w:r>
      <w:r w:rsidRPr="00E3622A">
        <w:rPr>
          <w:rFonts w:ascii="Times New Roman" w:eastAsia="Times New Roman" w:hAnsi="Times New Roman"/>
          <w:bCs/>
          <w:sz w:val="24"/>
          <w:szCs w:val="24"/>
          <w:lang w:eastAsia="tr-TR"/>
        </w:rPr>
        <w:t>. CDP Türkiye 201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8</w:t>
      </w:r>
      <w:r w:rsidRPr="00E3622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İklim </w:t>
      </w:r>
      <w:r w:rsidRPr="00E172F3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Değişikliği </w:t>
      </w:r>
      <w:r w:rsidR="00621673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Programı kapsamında yanıt veren şirketlerin analizi sonucu ortaya çıkan ana bulgular: </w:t>
      </w:r>
    </w:p>
    <w:p w14:paraId="4F019322" w14:textId="77777777" w:rsidR="001179A7" w:rsidRDefault="001179A7" w:rsidP="0006617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761636B4" w14:textId="37B80214" w:rsidR="001179A7" w:rsidRPr="001179A7" w:rsidRDefault="001179A7" w:rsidP="001179A7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179A7">
        <w:rPr>
          <w:rFonts w:ascii="Times New Roman" w:hAnsi="Times New Roman"/>
          <w:sz w:val="24"/>
          <w:szCs w:val="24"/>
        </w:rPr>
        <w:t xml:space="preserve">BIST-100 endeksi, Borsa İstanbul şirketlerinin toplam piyasa değerinin %83’ünü temsil etmekte. </w:t>
      </w:r>
      <w:r w:rsidRPr="001179A7">
        <w:rPr>
          <w:rFonts w:ascii="Times New Roman" w:hAnsi="Times New Roman"/>
          <w:b/>
          <w:sz w:val="24"/>
          <w:szCs w:val="24"/>
        </w:rPr>
        <w:t>CDP’ye 2018 yılında yanıt veren şirketler, CDP Türkiye’nin resmi örneklem listesi olan BIST-100’ün piyasa değerinin %52’sini, tüm Borsa İstanbul şirketlerinin ise %43’ünü temsil ediyor.</w:t>
      </w:r>
      <w:r w:rsidRPr="001179A7">
        <w:rPr>
          <w:rFonts w:ascii="Times New Roman" w:hAnsi="Times New Roman"/>
          <w:sz w:val="24"/>
          <w:szCs w:val="24"/>
        </w:rPr>
        <w:t xml:space="preserve"> CDP’ye globalde yanıt veren 7000 şirket ise küresel pazarın</w:t>
      </w:r>
      <w:r w:rsidR="00621673">
        <w:rPr>
          <w:rFonts w:ascii="Times New Roman" w:hAnsi="Times New Roman"/>
          <w:sz w:val="24"/>
          <w:szCs w:val="24"/>
        </w:rPr>
        <w:t xml:space="preserve"> toplam piyasa değerinin</w:t>
      </w:r>
      <w:r w:rsidRPr="001179A7">
        <w:rPr>
          <w:rFonts w:ascii="Times New Roman" w:hAnsi="Times New Roman"/>
          <w:sz w:val="24"/>
          <w:szCs w:val="24"/>
        </w:rPr>
        <w:t xml:space="preserve"> %50’sine tekabül ediyor.</w:t>
      </w:r>
    </w:p>
    <w:p w14:paraId="7064970F" w14:textId="77777777" w:rsidR="00066172" w:rsidRPr="00635B1D" w:rsidRDefault="00066172" w:rsidP="001179A7">
      <w:pPr>
        <w:pStyle w:val="Body"/>
        <w:rPr>
          <w:rFonts w:ascii="Times New Roman" w:hAnsi="Times New Roman"/>
          <w:sz w:val="24"/>
          <w:szCs w:val="24"/>
        </w:rPr>
      </w:pPr>
    </w:p>
    <w:p w14:paraId="1C25EC8F" w14:textId="323E4AFF" w:rsidR="001179A7" w:rsidRPr="001179A7" w:rsidRDefault="00066172" w:rsidP="001179A7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61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Türkiye’den CDP’ye yanıt veren şirketlerin büyük çoğunluğu (%93), iklimle bağlantılı riskleri tanımlarken, bu risklerin iş faaliyetleri üzerinde finansal ve stratejik etkiler yaratabilecek güçte</w:t>
      </w:r>
      <w:r w:rsidRPr="00066172">
        <w:rPr>
          <w:rFonts w:ascii="Times New Roman" w:hAnsi="Times New Roman"/>
          <w:b/>
          <w:sz w:val="24"/>
          <w:szCs w:val="24"/>
        </w:rPr>
        <w:t xml:space="preserve"> olduğunu vurguluyor.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D63493" w14:textId="77777777" w:rsidR="00066172" w:rsidRDefault="00066172" w:rsidP="00066172">
      <w:pPr>
        <w:pStyle w:val="Body"/>
        <w:ind w:left="720"/>
        <w:rPr>
          <w:rFonts w:ascii="Times New Roman" w:hAnsi="Times New Roman"/>
          <w:sz w:val="24"/>
          <w:szCs w:val="24"/>
        </w:rPr>
      </w:pPr>
    </w:p>
    <w:p w14:paraId="66ABCC82" w14:textId="0F0D2140" w:rsidR="00066172" w:rsidRDefault="00066172" w:rsidP="00066172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661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CDP’ye İklim Değişikliği programı kapsamında yanıt veren şirketlerin %82’si ‘dönüşüm’ ya da ‘geçiş’ olarak adlandırabileceğimiz </w:t>
      </w:r>
      <w:r w:rsidR="00621673" w:rsidRPr="000661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risklerin-</w:t>
      </w:r>
      <w:r w:rsidRPr="000661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çevre ile ilgili yeni regülasyonlar gibi</w:t>
      </w:r>
      <w:r w:rsidR="00621673" w:rsidRPr="000661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- iş</w:t>
      </w:r>
      <w:r w:rsidRPr="000661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faaliyetlerini büyük ölçüde etkileyeceğini düşünüyor.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Şirketlerin %45’i ise bu risklerin iş faaliyetlerini </w:t>
      </w:r>
      <w:r w:rsidRPr="006216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kısa dönemde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etkileyeceğini belirtmiş. </w:t>
      </w:r>
    </w:p>
    <w:p w14:paraId="67D180A6" w14:textId="77777777" w:rsidR="00066172" w:rsidRPr="00635B1D" w:rsidRDefault="00066172" w:rsidP="00066172">
      <w:pPr>
        <w:pStyle w:val="Body"/>
        <w:ind w:left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B414FF2" w14:textId="77777777" w:rsidR="00066172" w:rsidRDefault="00066172" w:rsidP="00066172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Şirketlerin %84’ü bu risklerin e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tkili şekilde yönetilmesi için 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tepe yöneticilerine veya yönetim kurullarına </w:t>
      </w:r>
      <w:r w:rsidRPr="006216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mali teşvikler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sunma yolunu seçiyor. </w:t>
      </w:r>
    </w:p>
    <w:p w14:paraId="43A4E97B" w14:textId="77777777" w:rsidR="00066172" w:rsidRPr="00635B1D" w:rsidRDefault="00066172" w:rsidP="00066172">
      <w:pPr>
        <w:pStyle w:val="Body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89DE32F" w14:textId="77777777" w:rsidR="00066172" w:rsidRDefault="00066172" w:rsidP="00066172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661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Türkiye’deki şirketler için iklim değişikliği artık yönetimin en tepesini yani yönetim kurullarını</w:t>
      </w:r>
      <w:r w:rsidRPr="00066172">
        <w:rPr>
          <w:rFonts w:ascii="Times New Roman" w:hAnsi="Times New Roman"/>
          <w:b/>
          <w:sz w:val="24"/>
          <w:szCs w:val="24"/>
        </w:rPr>
        <w:t xml:space="preserve"> da ilgilendiren bir sorun.</w:t>
      </w:r>
      <w:r>
        <w:rPr>
          <w:rFonts w:ascii="Times New Roman" w:hAnsi="Times New Roman"/>
          <w:sz w:val="24"/>
          <w:szCs w:val="24"/>
        </w:rPr>
        <w:t xml:space="preserve"> CDP’ye yanıt veren şirketlerin neredeyse hepsi (%95’i) şirketlerinde iklim değişikliği konusunun yönetim kurulları seviyesinde ele alındığını belirtiyor.</w:t>
      </w:r>
    </w:p>
    <w:p w14:paraId="4C215133" w14:textId="77777777" w:rsidR="00066172" w:rsidRDefault="00066172" w:rsidP="00066172">
      <w:pPr>
        <w:pStyle w:val="Body"/>
        <w:rPr>
          <w:rFonts w:ascii="Times New Roman" w:hAnsi="Times New Roman"/>
          <w:sz w:val="24"/>
          <w:szCs w:val="24"/>
        </w:rPr>
      </w:pPr>
    </w:p>
    <w:p w14:paraId="3534E42D" w14:textId="77777777" w:rsidR="00066172" w:rsidRDefault="00066172" w:rsidP="00066172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Yanıt veren şirketlerin %57’si iklim değişikliğiyle ilgili kurumsal stratejilerini </w:t>
      </w:r>
      <w:r w:rsidRPr="0062167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senaryo temelli bir yaklaşım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kullanarak belirlerken; şirketlerin %30’u da 2020 yılına kadar senaryo temelli yaklaşım yöntemine geçiş yapmayı öngörüyor.</w:t>
      </w:r>
    </w:p>
    <w:p w14:paraId="4922533C" w14:textId="77777777" w:rsidR="00066172" w:rsidRPr="00635B1D" w:rsidRDefault="00066172" w:rsidP="00066172">
      <w:pPr>
        <w:pStyle w:val="Body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1F330F8" w14:textId="7B489350" w:rsidR="00066172" w:rsidRPr="00913415" w:rsidRDefault="00066172" w:rsidP="00066172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134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Yanıt veren şirketlerin neredeyse hepsi iklim değişikliğinden kaynaklanan iş fırsatlarını fark etmiş durumda.</w:t>
      </w:r>
      <w:r w:rsidRPr="0091341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İklim değişikliğinden kaynaklanacak pozitif fırsatların farkında olan şirketlerin oranı %95 iken, iklim değişikliğini risk olarak değerlendirenlerin oranı %93.</w:t>
      </w:r>
      <w:r w:rsidR="00913415" w:rsidRPr="00913415">
        <w:rPr>
          <w:rFonts w:ascii="Times New Roman" w:hAnsi="Times New Roman"/>
          <w:sz w:val="24"/>
          <w:szCs w:val="24"/>
        </w:rPr>
        <w:t xml:space="preserve"> Yani, iklim değişikliğinden kaynaklanacak pozitif fırsatların farkında olan şirketlerin oranı</w:t>
      </w:r>
      <w:r w:rsidR="00626B27">
        <w:rPr>
          <w:rFonts w:ascii="Times New Roman" w:hAnsi="Times New Roman"/>
          <w:sz w:val="24"/>
          <w:szCs w:val="24"/>
        </w:rPr>
        <w:t xml:space="preserve">, </w:t>
      </w:r>
      <w:r w:rsidR="00913415" w:rsidRPr="00913415">
        <w:rPr>
          <w:rFonts w:ascii="Times New Roman" w:hAnsi="Times New Roman"/>
          <w:sz w:val="24"/>
          <w:szCs w:val="24"/>
        </w:rPr>
        <w:t>iklim değişikliğini risk olarak değerlendirenlerden daha fazla</w:t>
      </w:r>
      <w:r w:rsidR="00913415">
        <w:rPr>
          <w:rFonts w:ascii="Times New Roman" w:hAnsi="Times New Roman"/>
          <w:sz w:val="24"/>
          <w:szCs w:val="24"/>
        </w:rPr>
        <w:t>.</w:t>
      </w:r>
    </w:p>
    <w:p w14:paraId="36D0D3CC" w14:textId="77777777" w:rsidR="00913415" w:rsidRPr="00913415" w:rsidRDefault="00913415" w:rsidP="00913415">
      <w:pPr>
        <w:pStyle w:val="Body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9AA8504" w14:textId="1291B2D5" w:rsidR="00066172" w:rsidRDefault="00066172" w:rsidP="00066172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661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Türkiye’de iş dünyası farklı alanlarda da fırsatlar keşfetmekte;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örneğin şirketlerin %20’si müşterilerinin karbon emisyonlarını azaltabilmelerine yardımcı olacak düşük karbonlu ürün ve hizmetler sunuyor. %24’ü ise ürünlerinin ve/veya sundukları hizmetlerin üçüncü tarafların karbon emisyonlarında </w:t>
      </w:r>
      <w:proofErr w:type="spellStart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azaltım</w:t>
      </w:r>
      <w:proofErr w:type="spellEnd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sağla</w:t>
      </w:r>
      <w:r w:rsidR="00913415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dığını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belirtiyor.</w:t>
      </w:r>
    </w:p>
    <w:p w14:paraId="2DBDCC03" w14:textId="77777777" w:rsidR="00066172" w:rsidRPr="00635B1D" w:rsidRDefault="00066172" w:rsidP="00066172">
      <w:pPr>
        <w:pStyle w:val="Body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5485598" w14:textId="29B34B6A" w:rsidR="00066172" w:rsidRDefault="00066172" w:rsidP="00066172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661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Türkiye’de karbon emisyonu raporlanmasında gözle görülür bir ilerleme kaydedilmiş durumda.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Yanıt veren şirketlerin %45’i karbon emisyonlarında önceki yıla göre azalma tespit etti. Buna paralel olarak, gitgide artan sayıda şirket de emisyon verilerinin kontrolünün önemini fark etmekte. Ayrıca</w:t>
      </w:r>
      <w:r w:rsidR="00561E5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yanıt veren şirketlerin %75’i Kapsam 1 ve Kapsam 2 emisyonlarının üçüncü taraflarca doğrulatıldığını ya da bu doğrulamanın halen devam ettiğini raporladı. Bu sayı 2017 yılında %62’ydi.</w:t>
      </w:r>
    </w:p>
    <w:p w14:paraId="2308A580" w14:textId="77777777" w:rsidR="00066172" w:rsidRPr="00635B1D" w:rsidRDefault="00066172" w:rsidP="00066172">
      <w:pPr>
        <w:pStyle w:val="Body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DC1EDF4" w14:textId="581726A5" w:rsidR="00066172" w:rsidRDefault="00066172" w:rsidP="00066172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661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Türkiye’de gitgide daha fazla sayıda şirket iklim değişikliğiyle mücadele konusunda aksiyon alıyor ve düşük karbonlu bir geleceğe doğru daha uzun dönemli ve etkili hedefler belirliyor.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CDP’ye yanıt veren şirketlerin %84’ü, emisyonlarını azaltmaya yönelik hedeflerinin o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lduğunu belirtiyor. Bu oran 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2017 yılında %80’di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Şirketlerin büyük bir oranı</w:t>
      </w:r>
      <w:r w:rsidR="00626B2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%73</w:t>
      </w:r>
      <w:r w:rsidR="00626B2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)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ise doğrudan enerji verimliliğiyle ilgili hedefleri olduğunu belirtmiş. Bu oran ise 2017 yılında %64’tü. </w:t>
      </w:r>
    </w:p>
    <w:p w14:paraId="33D263F0" w14:textId="77777777" w:rsidR="00066172" w:rsidRPr="00635B1D" w:rsidRDefault="00066172" w:rsidP="00066172">
      <w:pPr>
        <w:pStyle w:val="Body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950ADCE" w14:textId="470DB43B" w:rsidR="00066172" w:rsidRDefault="00066172" w:rsidP="00066172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661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Bilime dayalı hedefler ve/veya karbon fiyatlandırması gibi iklim değişikliği ile ilgili mekanizmalar ile ilgili Türkiye’deki şirketlerin daha fazla gelişim kaydetmesi gerekiyor.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Yanıt v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eren şirketlerin sadece %7’si belirledikleri hedefi bilime dayalı hedef olarak tanım</w:t>
      </w:r>
      <w:r w:rsidR="00561E5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ıyor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; ancak bu hedefler konuyla ilgili onaylayıcı kurum olan </w:t>
      </w:r>
      <w:proofErr w:type="spellStart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Science</w:t>
      </w:r>
      <w:proofErr w:type="spellEnd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Based</w:t>
      </w:r>
      <w:proofErr w:type="spellEnd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Target</w:t>
      </w:r>
      <w:proofErr w:type="spellEnd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Initiative</w:t>
      </w:r>
      <w:proofErr w:type="spellEnd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(</w:t>
      </w:r>
      <w:proofErr w:type="spellStart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SBTi</w:t>
      </w:r>
      <w:proofErr w:type="spellEnd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) tarafından bilime dayalı hedef olarak onaylanmış durumda değil. Şirketlerin %32’si ise 2020 yılına kadar bilime dayalı hedef belirlemeyi öngörüyor. Benzer şekilde, </w:t>
      </w:r>
      <w:r w:rsidRPr="00561E5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şirket içi dahili karbon fiyatlandırması 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uygulayan şirketlerin oranı %18, yani oldukça düşük. Bu oran 2017 yılında %16’</w:t>
      </w:r>
      <w:r w:rsidR="00561E5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y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dı. Önümüzdeki iki yıl içinde dahili karbon fiyatlandırması uygulamasını başlatmayı öngören şirket oranı ise %34. </w:t>
      </w:r>
    </w:p>
    <w:p w14:paraId="1728737B" w14:textId="77777777" w:rsidR="00066172" w:rsidRPr="00635B1D" w:rsidRDefault="00066172" w:rsidP="00066172">
      <w:pPr>
        <w:pStyle w:val="Body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5E2FFA4" w14:textId="77777777" w:rsidR="00066172" w:rsidRDefault="00066172" w:rsidP="00066172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CDP’ye yanıt veren şirketlerin %11’i uzun dönemli iş stratejilerini desteklemek adına </w:t>
      </w:r>
      <w:r w:rsidRPr="00561E5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düşük karbonlu bir geçiş planı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geliştirmiş durumda. %16’sı ise bu planı 2020 yılına kadar geliştirmiş olmayı planlıyor.</w:t>
      </w:r>
    </w:p>
    <w:p w14:paraId="7075F4C4" w14:textId="77777777" w:rsidR="00066172" w:rsidRPr="00635B1D" w:rsidRDefault="00066172" w:rsidP="00066172">
      <w:pPr>
        <w:pStyle w:val="Body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83BFA43" w14:textId="76A56A31" w:rsidR="00066172" w:rsidRDefault="00066172" w:rsidP="00066172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661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İklimle ilgili konulara dahil olmak Türkiye’deki şirketler için artık eskisinden daha önemli. 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Bunun en önemli sebebi iklim değişikliğiyle ilgili ciddi uluslararası gelişmelerin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yaşanması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. Gitgide daha fazla sayıda şirket tedarik zincirlerini emisyon </w:t>
      </w:r>
      <w:proofErr w:type="spellStart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azaltımı</w:t>
      </w:r>
      <w:proofErr w:type="spellEnd"/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için </w:t>
      </w:r>
      <w:r w:rsidR="00626B2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gerekli çözümleri bulma sürecine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dahil ediyor. Şirketlerin %40’ı iklimle ilgili konuları tedarikçi değerlendirme süreçlerine entegre etmiş durumda. Ayrıca yanıt veren şirketlerin %86’sı iklimle ilgili kamu politikalarını doğrudan veya dolaylı </w:t>
      </w:r>
      <w:r w:rsidR="00626B2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olarak 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etkileyebilecek faaliyetlerde bulunduklarını bildirmiş. Bu oran 2017 yılında %70’ti. </w:t>
      </w:r>
    </w:p>
    <w:p w14:paraId="2FFCCE4F" w14:textId="77777777" w:rsidR="00066172" w:rsidRPr="00635B1D" w:rsidRDefault="00066172" w:rsidP="00066172">
      <w:pPr>
        <w:pStyle w:val="Body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0836AD1" w14:textId="68A9C6E7" w:rsidR="00066172" w:rsidRPr="00635B1D" w:rsidRDefault="00066172" w:rsidP="00066172">
      <w:pPr>
        <w:pStyle w:val="Body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CDP’ye Türkiye’den yanıt veren şirketler arasında bu sene CDP</w:t>
      </w:r>
      <w:r w:rsidR="00561E5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Global A listesine girebilen bir şirket yok. Ancak üç şirket; </w:t>
      </w:r>
      <w:r w:rsidRPr="00626B2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Arçelik, Aselsan ve Garanti Bankası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iklim değişikliği programı çerçevesinde </w:t>
      </w:r>
      <w:r w:rsidR="00626B2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“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</w:t>
      </w:r>
      <w:r w:rsidR="00626B2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-”</w:t>
      </w:r>
      <w:r w:rsidRPr="00635B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derecelendirme notunu alarak Türkiye’de iş dünyasının iklim değişikliği konusunda liderleri oldular.</w:t>
      </w:r>
    </w:p>
    <w:p w14:paraId="1CA59DA8" w14:textId="77777777" w:rsidR="00066172" w:rsidRDefault="00066172" w:rsidP="000661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50515365" w14:textId="77777777" w:rsidR="00561E5E" w:rsidRDefault="00561E5E" w:rsidP="001179A7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tr-TR"/>
        </w:rPr>
      </w:pPr>
    </w:p>
    <w:p w14:paraId="48869886" w14:textId="6B613DDF" w:rsidR="001179A7" w:rsidRPr="001179A7" w:rsidRDefault="001179A7" w:rsidP="001179A7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  <w:lang w:val="tr-TR"/>
        </w:rPr>
      </w:pPr>
      <w:r w:rsidRPr="001179A7">
        <w:rPr>
          <w:rFonts w:ascii="Times New Roman" w:hAnsi="Times New Roman"/>
          <w:b/>
          <w:sz w:val="24"/>
          <w:szCs w:val="24"/>
          <w:lang w:val="tr-TR"/>
        </w:rPr>
        <w:t xml:space="preserve">CDP </w:t>
      </w:r>
      <w:r>
        <w:rPr>
          <w:rFonts w:ascii="Times New Roman" w:hAnsi="Times New Roman"/>
          <w:b/>
          <w:sz w:val="24"/>
          <w:szCs w:val="24"/>
          <w:lang w:val="tr-TR"/>
        </w:rPr>
        <w:t>Su</w:t>
      </w:r>
      <w:r w:rsidRPr="001179A7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r-TR"/>
        </w:rPr>
        <w:t xml:space="preserve">Programı </w:t>
      </w:r>
      <w:r w:rsidR="005A6698">
        <w:rPr>
          <w:rFonts w:ascii="Times New Roman" w:hAnsi="Times New Roman"/>
          <w:b/>
          <w:sz w:val="24"/>
          <w:szCs w:val="24"/>
          <w:lang w:val="tr-TR"/>
        </w:rPr>
        <w:t xml:space="preserve">2018 </w:t>
      </w:r>
      <w:r>
        <w:rPr>
          <w:rFonts w:ascii="Times New Roman" w:hAnsi="Times New Roman"/>
          <w:b/>
          <w:sz w:val="24"/>
          <w:szCs w:val="24"/>
          <w:lang w:val="tr-TR"/>
        </w:rPr>
        <w:t>Bulguları</w:t>
      </w:r>
      <w:r w:rsidR="005A6698">
        <w:rPr>
          <w:rFonts w:ascii="Times New Roman" w:hAnsi="Times New Roman"/>
          <w:b/>
          <w:sz w:val="24"/>
          <w:szCs w:val="24"/>
          <w:lang w:val="tr-TR"/>
        </w:rPr>
        <w:t>:</w:t>
      </w:r>
    </w:p>
    <w:p w14:paraId="70DD2114" w14:textId="77777777" w:rsidR="001179A7" w:rsidRPr="00E3622A" w:rsidRDefault="001179A7" w:rsidP="0006617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014CC147" w14:textId="57444A92" w:rsidR="00066172" w:rsidRPr="00FB79D1" w:rsidRDefault="00066172" w:rsidP="0006617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E3622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CDP Türkiye Su Programı’nın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dördüncü </w:t>
      </w:r>
      <w:r w:rsidRPr="00E3622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yılında, Türkiye’den davet alan 50 şirket, BIST-100 endeksinde yer alan şirketlerin içerisinde suya bağlı risklere en çok maruz kalma olasılığı olan sektörlerde yer alan şirketlerden oluşuyor. </w:t>
      </w:r>
      <w:r w:rsidR="00DC5AD2">
        <w:rPr>
          <w:rFonts w:ascii="Times New Roman" w:eastAsia="Times New Roman" w:hAnsi="Times New Roman"/>
          <w:bCs/>
          <w:sz w:val="24"/>
          <w:szCs w:val="24"/>
        </w:rPr>
        <w:t>2018 yılında d</w:t>
      </w:r>
      <w:r w:rsidRPr="00E3622A">
        <w:rPr>
          <w:rFonts w:ascii="Times New Roman" w:eastAsia="Times New Roman" w:hAnsi="Times New Roman"/>
          <w:bCs/>
          <w:sz w:val="24"/>
          <w:szCs w:val="24"/>
        </w:rPr>
        <w:t xml:space="preserve">avet alan şirketlerin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14’ü </w:t>
      </w:r>
      <w:r w:rsidR="00DC5AD2">
        <w:rPr>
          <w:rFonts w:ascii="Times New Roman" w:eastAsia="Times New Roman" w:hAnsi="Times New Roman"/>
          <w:bCs/>
          <w:sz w:val="24"/>
          <w:szCs w:val="24"/>
        </w:rPr>
        <w:t xml:space="preserve">CDP’ye </w:t>
      </w:r>
      <w:r w:rsidRPr="00E3622A">
        <w:rPr>
          <w:rFonts w:ascii="Times New Roman" w:eastAsia="Times New Roman" w:hAnsi="Times New Roman"/>
          <w:bCs/>
          <w:sz w:val="24"/>
          <w:szCs w:val="24"/>
        </w:rPr>
        <w:t>yanıt verdi. 1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E3622A">
        <w:rPr>
          <w:rFonts w:ascii="Times New Roman" w:eastAsia="Times New Roman" w:hAnsi="Times New Roman"/>
          <w:bCs/>
          <w:sz w:val="24"/>
          <w:szCs w:val="24"/>
        </w:rPr>
        <w:t xml:space="preserve"> şirket </w:t>
      </w:r>
      <w:r w:rsidR="00DC5AD2">
        <w:rPr>
          <w:rFonts w:ascii="Times New Roman" w:eastAsia="Times New Roman" w:hAnsi="Times New Roman"/>
          <w:bCs/>
          <w:sz w:val="24"/>
          <w:szCs w:val="24"/>
        </w:rPr>
        <w:t xml:space="preserve">ise </w:t>
      </w:r>
      <w:r w:rsidRPr="00E3622A">
        <w:rPr>
          <w:rFonts w:ascii="Times New Roman" w:eastAsia="Times New Roman" w:hAnsi="Times New Roman"/>
          <w:bCs/>
          <w:sz w:val="24"/>
          <w:szCs w:val="24"/>
        </w:rPr>
        <w:t xml:space="preserve">davet almadığı halde gönüllü olarak raporlama yaptı. </w:t>
      </w:r>
      <w:r w:rsidR="00DC5AD2">
        <w:rPr>
          <w:rFonts w:ascii="Times New Roman" w:eastAsia="Times New Roman" w:hAnsi="Times New Roman"/>
          <w:bCs/>
          <w:sz w:val="24"/>
          <w:szCs w:val="24"/>
        </w:rPr>
        <w:t xml:space="preserve">CDP’ye yanıt veren 27 şirketin tamamı CDP İklim Değişikliği Programı kapsamında da raporlama yapıyor. </w:t>
      </w:r>
      <w:r w:rsidR="00DC5AD2" w:rsidRPr="00E3622A">
        <w:rPr>
          <w:rFonts w:ascii="Times New Roman" w:eastAsia="Times New Roman" w:hAnsi="Times New Roman"/>
          <w:bCs/>
          <w:sz w:val="24"/>
          <w:szCs w:val="24"/>
          <w:lang w:eastAsia="tr-TR"/>
        </w:rPr>
        <w:t>CDP Türkiye 201</w:t>
      </w:r>
      <w:r w:rsidR="00DC5AD2">
        <w:rPr>
          <w:rFonts w:ascii="Times New Roman" w:eastAsia="Times New Roman" w:hAnsi="Times New Roman"/>
          <w:bCs/>
          <w:sz w:val="24"/>
          <w:szCs w:val="24"/>
          <w:lang w:eastAsia="tr-TR"/>
        </w:rPr>
        <w:t>8</w:t>
      </w:r>
      <w:r w:rsidR="00DC5AD2" w:rsidRPr="00E3622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DC5AD2">
        <w:rPr>
          <w:rFonts w:ascii="Times New Roman" w:eastAsia="Times New Roman" w:hAnsi="Times New Roman"/>
          <w:bCs/>
          <w:sz w:val="24"/>
          <w:szCs w:val="24"/>
          <w:lang w:eastAsia="tr-TR"/>
        </w:rPr>
        <w:t>Su</w:t>
      </w:r>
      <w:r w:rsidR="00DC5AD2" w:rsidRPr="00E172F3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="00DC5AD2">
        <w:rPr>
          <w:rFonts w:ascii="Times New Roman" w:eastAsia="Times New Roman" w:hAnsi="Times New Roman"/>
          <w:bCs/>
          <w:sz w:val="24"/>
          <w:szCs w:val="24"/>
          <w:lang w:eastAsia="tr-TR"/>
        </w:rPr>
        <w:t>Programı kapsamında yanıt veren şirketlerin analizi</w:t>
      </w:r>
      <w:r w:rsidR="0038091F">
        <w:rPr>
          <w:rFonts w:ascii="Times New Roman" w:eastAsia="Times New Roman" w:hAnsi="Times New Roman"/>
          <w:bCs/>
          <w:sz w:val="24"/>
          <w:szCs w:val="24"/>
          <w:lang w:eastAsia="tr-TR"/>
        </w:rPr>
        <w:t>,</w:t>
      </w:r>
      <w:r w:rsidR="00DC5AD2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E3622A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Türkiye’de şirketlerin suya bağlı riskleri nasıl yönettiği ve su yönetimi konusunda kendilerini nasıl </w:t>
      </w:r>
      <w:r w:rsidRPr="00E3622A">
        <w:rPr>
          <w:rFonts w:ascii="Times New Roman" w:eastAsia="Times New Roman" w:hAnsi="Times New Roman"/>
          <w:bCs/>
          <w:sz w:val="24"/>
          <w:szCs w:val="24"/>
          <w:lang w:eastAsia="tr-TR"/>
        </w:rPr>
        <w:lastRenderedPageBreak/>
        <w:t xml:space="preserve">konumlandırdığı konusunda kamuoyunu bilgilendirmeyi amaçlıyor. </w:t>
      </w:r>
      <w:r w:rsidRPr="00E3622A">
        <w:rPr>
          <w:rFonts w:ascii="Times New Roman" w:eastAsia="Arial" w:hAnsi="Times New Roman"/>
          <w:sz w:val="24"/>
          <w:szCs w:val="24"/>
        </w:rPr>
        <w:t>Yanıtlar, kurumsal performansların şeffaflığı</w:t>
      </w:r>
      <w:r w:rsidR="0038091F">
        <w:rPr>
          <w:rFonts w:ascii="Times New Roman" w:eastAsia="Arial" w:hAnsi="Times New Roman"/>
          <w:sz w:val="24"/>
          <w:szCs w:val="24"/>
        </w:rPr>
        <w:t>,</w:t>
      </w:r>
      <w:r w:rsidRPr="00E3622A">
        <w:rPr>
          <w:rFonts w:ascii="Times New Roman" w:eastAsia="Arial" w:hAnsi="Times New Roman"/>
          <w:sz w:val="24"/>
          <w:szCs w:val="24"/>
        </w:rPr>
        <w:t xml:space="preserve"> su kullanımının ölçülmesi ve </w:t>
      </w:r>
      <w:r w:rsidR="0038091F" w:rsidRPr="00E3622A">
        <w:rPr>
          <w:rFonts w:ascii="Times New Roman" w:eastAsia="Arial" w:hAnsi="Times New Roman"/>
          <w:sz w:val="24"/>
          <w:szCs w:val="24"/>
        </w:rPr>
        <w:t>izlenmesi,</w:t>
      </w:r>
      <w:r w:rsidRPr="00E3622A">
        <w:rPr>
          <w:rFonts w:ascii="Times New Roman" w:eastAsia="Arial" w:hAnsi="Times New Roman"/>
          <w:sz w:val="24"/>
          <w:szCs w:val="24"/>
        </w:rPr>
        <w:t xml:space="preserve"> risk değerlendirmesi</w:t>
      </w:r>
      <w:r w:rsidR="0038091F">
        <w:rPr>
          <w:rFonts w:ascii="Times New Roman" w:eastAsia="Arial" w:hAnsi="Times New Roman"/>
          <w:sz w:val="24"/>
          <w:szCs w:val="24"/>
        </w:rPr>
        <w:t>,</w:t>
      </w:r>
      <w:r w:rsidR="001E207B">
        <w:rPr>
          <w:rFonts w:ascii="Times New Roman" w:eastAsia="Arial" w:hAnsi="Times New Roman"/>
          <w:sz w:val="24"/>
          <w:szCs w:val="24"/>
        </w:rPr>
        <w:t xml:space="preserve"> </w:t>
      </w:r>
      <w:r w:rsidRPr="00E3622A">
        <w:rPr>
          <w:rFonts w:ascii="Times New Roman" w:eastAsia="Arial" w:hAnsi="Times New Roman"/>
          <w:sz w:val="24"/>
          <w:szCs w:val="24"/>
        </w:rPr>
        <w:t>su yönetimi</w:t>
      </w:r>
      <w:r w:rsidR="001E207B">
        <w:rPr>
          <w:rFonts w:ascii="Times New Roman" w:eastAsia="Arial" w:hAnsi="Times New Roman"/>
          <w:sz w:val="24"/>
          <w:szCs w:val="24"/>
        </w:rPr>
        <w:t xml:space="preserve"> ve strateji</w:t>
      </w:r>
      <w:r w:rsidR="0038091F">
        <w:rPr>
          <w:rFonts w:ascii="Times New Roman" w:eastAsia="Arial" w:hAnsi="Times New Roman"/>
          <w:sz w:val="24"/>
          <w:szCs w:val="24"/>
        </w:rPr>
        <w:t>,</w:t>
      </w:r>
      <w:r w:rsidRPr="00E3622A">
        <w:rPr>
          <w:rFonts w:ascii="Times New Roman" w:eastAsia="Arial" w:hAnsi="Times New Roman"/>
          <w:sz w:val="24"/>
          <w:szCs w:val="24"/>
        </w:rPr>
        <w:t xml:space="preserve"> hedefler</w:t>
      </w:r>
      <w:r w:rsidR="001E207B">
        <w:rPr>
          <w:rFonts w:ascii="Times New Roman" w:eastAsia="Arial" w:hAnsi="Times New Roman"/>
          <w:sz w:val="24"/>
          <w:szCs w:val="24"/>
        </w:rPr>
        <w:t xml:space="preserve"> ve </w:t>
      </w:r>
      <w:r w:rsidRPr="00E3622A">
        <w:rPr>
          <w:rFonts w:ascii="Times New Roman" w:eastAsia="Arial" w:hAnsi="Times New Roman"/>
          <w:sz w:val="24"/>
          <w:szCs w:val="24"/>
        </w:rPr>
        <w:t>yükümlülük</w:t>
      </w:r>
      <w:r w:rsidR="001E207B">
        <w:rPr>
          <w:rFonts w:ascii="Times New Roman" w:eastAsia="Arial" w:hAnsi="Times New Roman"/>
          <w:sz w:val="24"/>
          <w:szCs w:val="24"/>
        </w:rPr>
        <w:t>ler</w:t>
      </w:r>
      <w:r w:rsidRPr="00E3622A">
        <w:rPr>
          <w:rFonts w:ascii="Times New Roman" w:eastAsia="Arial" w:hAnsi="Times New Roman"/>
          <w:sz w:val="24"/>
          <w:szCs w:val="24"/>
        </w:rPr>
        <w:t xml:space="preserve"> gibi ana ölçüt</w:t>
      </w:r>
      <w:r w:rsidR="001E207B">
        <w:rPr>
          <w:rFonts w:ascii="Times New Roman" w:eastAsia="Arial" w:hAnsi="Times New Roman"/>
          <w:sz w:val="24"/>
          <w:szCs w:val="24"/>
        </w:rPr>
        <w:t>ler</w:t>
      </w:r>
      <w:r w:rsidRPr="00E3622A">
        <w:rPr>
          <w:rFonts w:ascii="Times New Roman" w:eastAsia="Arial" w:hAnsi="Times New Roman"/>
          <w:sz w:val="24"/>
          <w:szCs w:val="24"/>
        </w:rPr>
        <w:t>e göre değerlendirildi:</w:t>
      </w:r>
    </w:p>
    <w:p w14:paraId="789F64D5" w14:textId="77777777" w:rsidR="00066172" w:rsidRDefault="00066172" w:rsidP="00066172">
      <w:pPr>
        <w:pStyle w:val="Body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5EC2762" w14:textId="5DC9BEEA" w:rsidR="00066172" w:rsidRDefault="00066172" w:rsidP="00066172">
      <w:pPr>
        <w:pStyle w:val="Body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66172">
        <w:rPr>
          <w:rFonts w:ascii="Times New Roman" w:hAnsi="Times New Roman"/>
          <w:b/>
          <w:sz w:val="24"/>
          <w:szCs w:val="24"/>
        </w:rPr>
        <w:t xml:space="preserve">Su güvenliği tehdidine karşı Türkiye’de pek çok şirket </w:t>
      </w:r>
      <w:r w:rsidR="000D62A8">
        <w:rPr>
          <w:rFonts w:ascii="Times New Roman" w:hAnsi="Times New Roman"/>
          <w:b/>
          <w:sz w:val="24"/>
          <w:szCs w:val="24"/>
        </w:rPr>
        <w:t xml:space="preserve">ciddi </w:t>
      </w:r>
      <w:r w:rsidRPr="00066172">
        <w:rPr>
          <w:rFonts w:ascii="Times New Roman" w:hAnsi="Times New Roman"/>
          <w:b/>
          <w:sz w:val="24"/>
          <w:szCs w:val="24"/>
        </w:rPr>
        <w:t>önlem</w:t>
      </w:r>
      <w:r w:rsidR="000D62A8">
        <w:rPr>
          <w:rFonts w:ascii="Times New Roman" w:hAnsi="Times New Roman"/>
          <w:b/>
          <w:sz w:val="24"/>
          <w:szCs w:val="24"/>
        </w:rPr>
        <w:t>ler</w:t>
      </w:r>
      <w:r w:rsidRPr="00066172">
        <w:rPr>
          <w:rFonts w:ascii="Times New Roman" w:hAnsi="Times New Roman"/>
          <w:b/>
          <w:sz w:val="24"/>
          <w:szCs w:val="24"/>
        </w:rPr>
        <w:t xml:space="preserve"> almaya başlamış durumda.</w:t>
      </w:r>
      <w:r>
        <w:rPr>
          <w:rFonts w:ascii="Times New Roman" w:hAnsi="Times New Roman"/>
          <w:sz w:val="24"/>
          <w:szCs w:val="24"/>
        </w:rPr>
        <w:t xml:space="preserve"> Bugün Türkiye’nin lider şirketlerinin 27’si su risk ve etkilerini CDP üzerinden ölçümleyip raporlama yapmayı ve yönetmeyi seçiyor. Programı Türkiye’de uygulamaya ilk başladığımız 2015 senesinde bu rakam 15’ti. </w:t>
      </w:r>
    </w:p>
    <w:p w14:paraId="1FAF9E1D" w14:textId="77777777" w:rsidR="00066172" w:rsidRPr="002B6BFF" w:rsidRDefault="00066172" w:rsidP="00066172">
      <w:pPr>
        <w:pStyle w:val="Body"/>
        <w:ind w:left="720"/>
        <w:rPr>
          <w:rFonts w:ascii="Times New Roman" w:hAnsi="Times New Roman"/>
          <w:sz w:val="24"/>
          <w:szCs w:val="24"/>
        </w:rPr>
      </w:pPr>
    </w:p>
    <w:p w14:paraId="2F518B43" w14:textId="77777777" w:rsidR="00066172" w:rsidRDefault="00066172" w:rsidP="00066172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6172">
        <w:rPr>
          <w:rFonts w:ascii="Times New Roman" w:hAnsi="Times New Roman"/>
          <w:b/>
          <w:sz w:val="24"/>
          <w:szCs w:val="24"/>
        </w:rPr>
        <w:t>Türkiye’den CDP’ye yanıt veren şirketlerin %81’i şirketlerinin tüm faaliyetlerini kapsayan su politikalarına sahip olduklarını bildirdiler.</w:t>
      </w:r>
      <w:r>
        <w:rPr>
          <w:rFonts w:ascii="Times New Roman" w:hAnsi="Times New Roman"/>
          <w:sz w:val="24"/>
          <w:szCs w:val="24"/>
        </w:rPr>
        <w:t xml:space="preserve"> %92’si ise suyla ilgili kamu politikalarını doğrudan veya dolaylı yoldan etkileyebilecek faaliyetlerde bulunduğunu raporladı.</w:t>
      </w:r>
    </w:p>
    <w:p w14:paraId="6658632D" w14:textId="77777777" w:rsidR="00066172" w:rsidRDefault="00066172" w:rsidP="00066172">
      <w:pPr>
        <w:pStyle w:val="Body"/>
        <w:ind w:left="720"/>
        <w:rPr>
          <w:rFonts w:ascii="Times New Roman" w:hAnsi="Times New Roman"/>
          <w:sz w:val="24"/>
          <w:szCs w:val="24"/>
        </w:rPr>
      </w:pPr>
    </w:p>
    <w:p w14:paraId="67E1AD61" w14:textId="0E376AFE" w:rsidR="00066172" w:rsidRDefault="00066172" w:rsidP="00066172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6172">
        <w:rPr>
          <w:rFonts w:ascii="Times New Roman" w:hAnsi="Times New Roman"/>
          <w:b/>
          <w:sz w:val="24"/>
          <w:szCs w:val="24"/>
        </w:rPr>
        <w:t>Yönetim kurulları</w:t>
      </w:r>
      <w:r w:rsidR="000D62A8">
        <w:rPr>
          <w:rFonts w:ascii="Times New Roman" w:hAnsi="Times New Roman"/>
          <w:b/>
          <w:sz w:val="24"/>
          <w:szCs w:val="24"/>
        </w:rPr>
        <w:t>,</w:t>
      </w:r>
      <w:r w:rsidRPr="00066172">
        <w:rPr>
          <w:rFonts w:ascii="Times New Roman" w:hAnsi="Times New Roman"/>
          <w:b/>
          <w:sz w:val="24"/>
          <w:szCs w:val="24"/>
        </w:rPr>
        <w:t xml:space="preserve"> </w:t>
      </w:r>
      <w:r w:rsidR="000D62A8">
        <w:rPr>
          <w:rFonts w:ascii="Times New Roman" w:hAnsi="Times New Roman"/>
          <w:b/>
          <w:sz w:val="24"/>
          <w:szCs w:val="24"/>
        </w:rPr>
        <w:t>tıpkı iklim değişikliği konusunda olduğu gibi,</w:t>
      </w:r>
      <w:r w:rsidRPr="00066172">
        <w:rPr>
          <w:rFonts w:ascii="Times New Roman" w:hAnsi="Times New Roman"/>
          <w:b/>
          <w:sz w:val="24"/>
          <w:szCs w:val="24"/>
        </w:rPr>
        <w:t xml:space="preserve"> artık su güvenliği konusunun önemini ve </w:t>
      </w:r>
      <w:proofErr w:type="spellStart"/>
      <w:r w:rsidRPr="00066172">
        <w:rPr>
          <w:rFonts w:ascii="Times New Roman" w:hAnsi="Times New Roman"/>
          <w:b/>
          <w:sz w:val="24"/>
          <w:szCs w:val="24"/>
        </w:rPr>
        <w:t>aciliyetini</w:t>
      </w:r>
      <w:proofErr w:type="spellEnd"/>
      <w:r w:rsidRPr="00066172">
        <w:rPr>
          <w:rFonts w:ascii="Times New Roman" w:hAnsi="Times New Roman"/>
          <w:b/>
          <w:sz w:val="24"/>
          <w:szCs w:val="24"/>
        </w:rPr>
        <w:t xml:space="preserve"> kavramış durumda.</w:t>
      </w:r>
      <w:r>
        <w:rPr>
          <w:rFonts w:ascii="Times New Roman" w:hAnsi="Times New Roman"/>
          <w:sz w:val="24"/>
          <w:szCs w:val="24"/>
        </w:rPr>
        <w:t xml:space="preserve"> Su güvenliği </w:t>
      </w:r>
      <w:r w:rsidR="000D62A8">
        <w:rPr>
          <w:rFonts w:ascii="Times New Roman" w:hAnsi="Times New Roman"/>
          <w:sz w:val="24"/>
          <w:szCs w:val="24"/>
        </w:rPr>
        <w:t xml:space="preserve">konusu </w:t>
      </w:r>
      <w:r>
        <w:rPr>
          <w:rFonts w:ascii="Times New Roman" w:hAnsi="Times New Roman"/>
          <w:sz w:val="24"/>
          <w:szCs w:val="24"/>
        </w:rPr>
        <w:t>Türkiye’den yanıt veren şirketlerin neredeyse hepsinin (%96) gündeminde. Bu oran 2017 yılında %74’tü. Şirketlerin yarıdan fazlasında (%58) su güvenliğiyle ilgili konulardan sorumlu olan yönetici doğrudan CEO.</w:t>
      </w:r>
    </w:p>
    <w:p w14:paraId="57C561FD" w14:textId="77777777" w:rsidR="00066172" w:rsidRDefault="00066172" w:rsidP="00066172">
      <w:pPr>
        <w:pStyle w:val="Body"/>
        <w:rPr>
          <w:rFonts w:ascii="Times New Roman" w:hAnsi="Times New Roman"/>
          <w:sz w:val="24"/>
          <w:szCs w:val="24"/>
        </w:rPr>
      </w:pPr>
    </w:p>
    <w:p w14:paraId="4A4D1B80" w14:textId="1B591EB6" w:rsidR="00066172" w:rsidRDefault="00066172" w:rsidP="00066172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6172">
        <w:rPr>
          <w:rFonts w:ascii="Times New Roman" w:hAnsi="Times New Roman"/>
          <w:b/>
          <w:sz w:val="24"/>
          <w:szCs w:val="24"/>
        </w:rPr>
        <w:t xml:space="preserve">Su riskleri şirketler için gitgide daha ciddi tehlikeler doğuruyor. </w:t>
      </w:r>
      <w:r>
        <w:rPr>
          <w:rFonts w:ascii="Times New Roman" w:hAnsi="Times New Roman"/>
          <w:sz w:val="24"/>
          <w:szCs w:val="24"/>
        </w:rPr>
        <w:t>Yanıt verenlerin %31’i raporlama döneminde suyla ilgili en az bir çeşit sorun yaşadıklarını bildirdiler. Bu sorunların en sık rastlananları ise sel ve kuraklık</w:t>
      </w:r>
      <w:r w:rsidR="000D62A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bu</w:t>
      </w:r>
      <w:r w:rsidR="000D62A8">
        <w:rPr>
          <w:rFonts w:ascii="Times New Roman" w:hAnsi="Times New Roman"/>
          <w:sz w:val="24"/>
          <w:szCs w:val="24"/>
        </w:rPr>
        <w:t xml:space="preserve"> sorunların</w:t>
      </w:r>
      <w:r>
        <w:rPr>
          <w:rFonts w:ascii="Times New Roman" w:hAnsi="Times New Roman"/>
          <w:sz w:val="24"/>
          <w:szCs w:val="24"/>
        </w:rPr>
        <w:t xml:space="preserve"> yarattığı </w:t>
      </w:r>
      <w:r w:rsidRPr="000D62A8">
        <w:rPr>
          <w:rFonts w:ascii="Times New Roman" w:hAnsi="Times New Roman"/>
          <w:b/>
          <w:sz w:val="24"/>
          <w:szCs w:val="24"/>
        </w:rPr>
        <w:t xml:space="preserve">toplam finansal zarar ise </w:t>
      </w:r>
      <w:proofErr w:type="gramStart"/>
      <w:r w:rsidR="003C3D91">
        <w:rPr>
          <w:rFonts w:ascii="Times New Roman" w:hAnsi="Times New Roman"/>
          <w:b/>
          <w:sz w:val="24"/>
          <w:szCs w:val="24"/>
        </w:rPr>
        <w:t>25.8</w:t>
      </w:r>
      <w:proofErr w:type="gramEnd"/>
      <w:r w:rsidRPr="000D62A8">
        <w:rPr>
          <w:rFonts w:ascii="Times New Roman" w:hAnsi="Times New Roman"/>
          <w:b/>
          <w:sz w:val="24"/>
          <w:szCs w:val="24"/>
        </w:rPr>
        <w:t xml:space="preserve"> mil</w:t>
      </w:r>
      <w:r w:rsidR="003C3D91">
        <w:rPr>
          <w:rFonts w:ascii="Times New Roman" w:hAnsi="Times New Roman"/>
          <w:b/>
          <w:sz w:val="24"/>
          <w:szCs w:val="24"/>
        </w:rPr>
        <w:t>yon</w:t>
      </w:r>
      <w:r w:rsidRPr="000D62A8">
        <w:rPr>
          <w:rFonts w:ascii="Times New Roman" w:hAnsi="Times New Roman"/>
          <w:b/>
          <w:sz w:val="24"/>
          <w:szCs w:val="24"/>
        </w:rPr>
        <w:t xml:space="preserve"> Dolar</w:t>
      </w:r>
      <w:r>
        <w:rPr>
          <w:rFonts w:ascii="Times New Roman" w:hAnsi="Times New Roman"/>
          <w:sz w:val="24"/>
          <w:szCs w:val="24"/>
        </w:rPr>
        <w:t>.</w:t>
      </w:r>
    </w:p>
    <w:p w14:paraId="0B24C942" w14:textId="77777777" w:rsidR="00066172" w:rsidRDefault="00066172" w:rsidP="00066172">
      <w:pPr>
        <w:pStyle w:val="Body"/>
        <w:ind w:left="720"/>
        <w:rPr>
          <w:rFonts w:ascii="Times New Roman" w:hAnsi="Times New Roman"/>
          <w:sz w:val="24"/>
          <w:szCs w:val="24"/>
        </w:rPr>
      </w:pPr>
    </w:p>
    <w:p w14:paraId="1D498E98" w14:textId="74534F6C" w:rsidR="00066172" w:rsidRDefault="00066172" w:rsidP="00066172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6172">
        <w:rPr>
          <w:rFonts w:ascii="Times New Roman" w:hAnsi="Times New Roman"/>
          <w:b/>
          <w:sz w:val="24"/>
          <w:szCs w:val="24"/>
        </w:rPr>
        <w:t>Türkiye’de şirket operasyonlarının başta tatlı su kaynakları olmak üzere</w:t>
      </w:r>
      <w:r w:rsidR="000D62A8">
        <w:rPr>
          <w:rFonts w:ascii="Times New Roman" w:hAnsi="Times New Roman"/>
          <w:b/>
          <w:sz w:val="24"/>
          <w:szCs w:val="24"/>
        </w:rPr>
        <w:t>,</w:t>
      </w:r>
      <w:r w:rsidRPr="00066172">
        <w:rPr>
          <w:rFonts w:ascii="Times New Roman" w:hAnsi="Times New Roman"/>
          <w:b/>
          <w:sz w:val="24"/>
          <w:szCs w:val="24"/>
        </w:rPr>
        <w:t xml:space="preserve"> yeterli miktarda suya erişimin olup olmamasına bağ</w:t>
      </w:r>
      <w:r w:rsidR="000D62A8">
        <w:rPr>
          <w:rFonts w:ascii="Times New Roman" w:hAnsi="Times New Roman"/>
          <w:b/>
          <w:sz w:val="24"/>
          <w:szCs w:val="24"/>
        </w:rPr>
        <w:t>lı</w:t>
      </w:r>
      <w:r w:rsidRPr="00066172">
        <w:rPr>
          <w:rFonts w:ascii="Times New Roman" w:hAnsi="Times New Roman"/>
          <w:b/>
          <w:sz w:val="24"/>
          <w:szCs w:val="24"/>
        </w:rPr>
        <w:t xml:space="preserve"> olması oldukça endişe verici.</w:t>
      </w:r>
      <w:r>
        <w:rPr>
          <w:rFonts w:ascii="Times New Roman" w:hAnsi="Times New Roman"/>
          <w:sz w:val="24"/>
          <w:szCs w:val="24"/>
        </w:rPr>
        <w:t xml:space="preserve"> Türkiye’den raporlama yapan şirketlerin %62’si yeterli miktarda temiz tatlı suya erişim</w:t>
      </w:r>
      <w:r w:rsidR="000D62A8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iş faaliyetleri için </w:t>
      </w:r>
      <w:r w:rsidRPr="000D62A8">
        <w:rPr>
          <w:rFonts w:ascii="Times New Roman" w:hAnsi="Times New Roman"/>
          <w:b/>
          <w:sz w:val="24"/>
          <w:szCs w:val="24"/>
        </w:rPr>
        <w:t xml:space="preserve">önemli </w:t>
      </w:r>
      <w:r>
        <w:rPr>
          <w:rFonts w:ascii="Times New Roman" w:hAnsi="Times New Roman"/>
          <w:sz w:val="24"/>
          <w:szCs w:val="24"/>
        </w:rPr>
        <w:t xml:space="preserve">olduğunu belirtirken bunun </w:t>
      </w:r>
      <w:r w:rsidRPr="000D62A8">
        <w:rPr>
          <w:rFonts w:ascii="Times New Roman" w:hAnsi="Times New Roman"/>
          <w:b/>
          <w:sz w:val="24"/>
          <w:szCs w:val="24"/>
        </w:rPr>
        <w:t>hayati önem</w:t>
      </w:r>
      <w:r>
        <w:rPr>
          <w:rFonts w:ascii="Times New Roman" w:hAnsi="Times New Roman"/>
          <w:sz w:val="24"/>
          <w:szCs w:val="24"/>
        </w:rPr>
        <w:t xml:space="preserve">de olduğunu belirten şirketlerin oranıysa %65. </w:t>
      </w:r>
    </w:p>
    <w:p w14:paraId="29F017BD" w14:textId="77777777" w:rsidR="00066172" w:rsidRDefault="00066172" w:rsidP="00066172">
      <w:pPr>
        <w:pStyle w:val="Body"/>
        <w:rPr>
          <w:rFonts w:ascii="Times New Roman" w:hAnsi="Times New Roman"/>
          <w:sz w:val="24"/>
          <w:szCs w:val="24"/>
        </w:rPr>
      </w:pPr>
    </w:p>
    <w:p w14:paraId="7ACB822D" w14:textId="6CBB70FB" w:rsidR="00066172" w:rsidRDefault="00066172" w:rsidP="00066172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6172">
        <w:rPr>
          <w:rFonts w:ascii="Times New Roman" w:hAnsi="Times New Roman"/>
          <w:b/>
          <w:sz w:val="24"/>
          <w:szCs w:val="24"/>
        </w:rPr>
        <w:t>CDP’ye yanıt veren şirketlerin ciddi bir kısmı (%96’sı) suyla ilgili bütün operasyonlarını kapsayan risklerin %50’sinden fazlasını ölçüyor ve takip ediyor.</w:t>
      </w:r>
      <w:r>
        <w:rPr>
          <w:rFonts w:ascii="Times New Roman" w:hAnsi="Times New Roman"/>
          <w:sz w:val="24"/>
          <w:szCs w:val="24"/>
        </w:rPr>
        <w:t xml:space="preserve"> Çektikleri su miktarına bakıldığında ise görülüyor ki şirketlerin %38’i önceki seneye göre bir düşüş, %35’i ise artış raporluyor. Ayrıca şirketlerin yarısı </w:t>
      </w:r>
      <w:r w:rsidR="000D62A8">
        <w:rPr>
          <w:rFonts w:ascii="Times New Roman" w:hAnsi="Times New Roman"/>
          <w:sz w:val="24"/>
          <w:szCs w:val="24"/>
        </w:rPr>
        <w:t xml:space="preserve">(50%) </w:t>
      </w:r>
      <w:r>
        <w:rPr>
          <w:rFonts w:ascii="Times New Roman" w:hAnsi="Times New Roman"/>
          <w:sz w:val="24"/>
          <w:szCs w:val="24"/>
        </w:rPr>
        <w:t xml:space="preserve">toplam su deşarjının önceki yıla göre daha fazla olduğunu bildiriyor. </w:t>
      </w:r>
    </w:p>
    <w:p w14:paraId="6C4DF45A" w14:textId="77777777" w:rsidR="00066172" w:rsidRDefault="00066172" w:rsidP="00066172">
      <w:pPr>
        <w:pStyle w:val="Body"/>
        <w:rPr>
          <w:rFonts w:ascii="Times New Roman" w:hAnsi="Times New Roman"/>
          <w:sz w:val="24"/>
          <w:szCs w:val="24"/>
        </w:rPr>
      </w:pPr>
    </w:p>
    <w:p w14:paraId="05A41237" w14:textId="5E664852" w:rsidR="00066172" w:rsidRDefault="00066172" w:rsidP="00066172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6172">
        <w:rPr>
          <w:rFonts w:ascii="Times New Roman" w:hAnsi="Times New Roman"/>
          <w:b/>
          <w:sz w:val="24"/>
          <w:szCs w:val="24"/>
        </w:rPr>
        <w:t xml:space="preserve">Su, şirket ve tesis seviyelerinde olmak üzere </w:t>
      </w:r>
      <w:r w:rsidR="000D62A8">
        <w:rPr>
          <w:rFonts w:ascii="Times New Roman" w:hAnsi="Times New Roman"/>
          <w:b/>
          <w:sz w:val="24"/>
          <w:szCs w:val="24"/>
        </w:rPr>
        <w:t xml:space="preserve">şirketler için operasyon </w:t>
      </w:r>
      <w:r w:rsidRPr="00066172">
        <w:rPr>
          <w:rFonts w:ascii="Times New Roman" w:hAnsi="Times New Roman"/>
          <w:b/>
          <w:sz w:val="24"/>
          <w:szCs w:val="24"/>
        </w:rPr>
        <w:t>sınırları</w:t>
      </w:r>
      <w:r w:rsidR="000D62A8">
        <w:rPr>
          <w:rFonts w:ascii="Times New Roman" w:hAnsi="Times New Roman"/>
          <w:b/>
          <w:sz w:val="24"/>
          <w:szCs w:val="24"/>
        </w:rPr>
        <w:t xml:space="preserve">nı </w:t>
      </w:r>
      <w:r w:rsidRPr="00066172">
        <w:rPr>
          <w:rFonts w:ascii="Times New Roman" w:hAnsi="Times New Roman"/>
          <w:b/>
          <w:sz w:val="24"/>
          <w:szCs w:val="24"/>
        </w:rPr>
        <w:t>aşan bir konu.</w:t>
      </w:r>
      <w:r>
        <w:rPr>
          <w:rFonts w:ascii="Times New Roman" w:hAnsi="Times New Roman"/>
          <w:sz w:val="24"/>
          <w:szCs w:val="24"/>
        </w:rPr>
        <w:t xml:space="preserve"> Su çoğunlukla (%73) üçüncü tarafların kaynaklarından çekiliyor ve deşarjı da aynı şekilde üçüncü </w:t>
      </w:r>
      <w:r w:rsidR="000D62A8">
        <w:rPr>
          <w:rFonts w:ascii="Times New Roman" w:hAnsi="Times New Roman"/>
          <w:sz w:val="24"/>
          <w:szCs w:val="24"/>
        </w:rPr>
        <w:t>tarafların alanlarına</w:t>
      </w:r>
      <w:r>
        <w:rPr>
          <w:rFonts w:ascii="Times New Roman" w:hAnsi="Times New Roman"/>
          <w:sz w:val="24"/>
          <w:szCs w:val="24"/>
        </w:rPr>
        <w:t xml:space="preserve"> yapılıyor (%88). </w:t>
      </w:r>
    </w:p>
    <w:p w14:paraId="025B82A7" w14:textId="77777777" w:rsidR="00066172" w:rsidRDefault="00066172" w:rsidP="00066172">
      <w:pPr>
        <w:pStyle w:val="Body"/>
        <w:rPr>
          <w:rFonts w:ascii="Times New Roman" w:hAnsi="Times New Roman"/>
          <w:sz w:val="24"/>
          <w:szCs w:val="24"/>
        </w:rPr>
      </w:pPr>
    </w:p>
    <w:p w14:paraId="0BAFFCC4" w14:textId="03C7A823" w:rsidR="00066172" w:rsidRDefault="00066172" w:rsidP="00066172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6172">
        <w:rPr>
          <w:rFonts w:ascii="Times New Roman" w:hAnsi="Times New Roman"/>
          <w:b/>
          <w:sz w:val="24"/>
          <w:szCs w:val="24"/>
        </w:rPr>
        <w:t xml:space="preserve">Şirketlerin su yönetimi ve </w:t>
      </w:r>
      <w:r w:rsidR="000D62A8">
        <w:rPr>
          <w:rFonts w:ascii="Times New Roman" w:hAnsi="Times New Roman"/>
          <w:b/>
          <w:sz w:val="24"/>
          <w:szCs w:val="24"/>
        </w:rPr>
        <w:t xml:space="preserve">su </w:t>
      </w:r>
      <w:r w:rsidRPr="00066172">
        <w:rPr>
          <w:rFonts w:ascii="Times New Roman" w:hAnsi="Times New Roman"/>
          <w:b/>
          <w:sz w:val="24"/>
          <w:szCs w:val="24"/>
        </w:rPr>
        <w:t>riskler</w:t>
      </w:r>
      <w:r w:rsidR="000D62A8">
        <w:rPr>
          <w:rFonts w:ascii="Times New Roman" w:hAnsi="Times New Roman"/>
          <w:b/>
          <w:sz w:val="24"/>
          <w:szCs w:val="24"/>
        </w:rPr>
        <w:t>ine</w:t>
      </w:r>
      <w:r w:rsidRPr="00066172">
        <w:rPr>
          <w:rFonts w:ascii="Times New Roman" w:hAnsi="Times New Roman"/>
          <w:b/>
          <w:sz w:val="24"/>
          <w:szCs w:val="24"/>
        </w:rPr>
        <w:t xml:space="preserve"> cevap vermekle ilgili çalışmaları ise umut verici düzeyde.</w:t>
      </w:r>
      <w:r>
        <w:rPr>
          <w:rFonts w:ascii="Times New Roman" w:hAnsi="Times New Roman"/>
          <w:sz w:val="24"/>
          <w:szCs w:val="24"/>
        </w:rPr>
        <w:t xml:space="preserve"> Şirketlerin %69’u suyla ilgili konularda tedarik zincirlerini de sürece dahil ediyor. %38’i de tedarikçilerinden su kullanımları, riskleri ve/ veya suyun yönetimiyle ilgili verilerini raporlamalarını</w:t>
      </w:r>
      <w:r w:rsidR="000D62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talep ediyor. </w:t>
      </w:r>
    </w:p>
    <w:p w14:paraId="7980923D" w14:textId="77777777" w:rsidR="00066172" w:rsidRDefault="00066172" w:rsidP="00066172">
      <w:pPr>
        <w:pStyle w:val="Body"/>
        <w:rPr>
          <w:rFonts w:ascii="Times New Roman" w:hAnsi="Times New Roman"/>
          <w:sz w:val="24"/>
          <w:szCs w:val="24"/>
        </w:rPr>
      </w:pPr>
    </w:p>
    <w:p w14:paraId="54773758" w14:textId="77777777" w:rsidR="00066172" w:rsidRDefault="00066172" w:rsidP="00066172">
      <w:pPr>
        <w:pStyle w:val="Body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66172">
        <w:rPr>
          <w:rFonts w:ascii="Times New Roman" w:hAnsi="Times New Roman"/>
          <w:b/>
          <w:sz w:val="24"/>
          <w:szCs w:val="24"/>
        </w:rPr>
        <w:t>Yanıt veren şirketlerin %96’sı su risklerini düzenli olarak değerlendirdiğini bildiriyor.</w:t>
      </w:r>
      <w:r>
        <w:rPr>
          <w:rFonts w:ascii="Times New Roman" w:hAnsi="Times New Roman"/>
          <w:sz w:val="24"/>
          <w:szCs w:val="24"/>
        </w:rPr>
        <w:t xml:space="preserve"> Bu oran 2017 yılında %78’di. Ancak su riski yüksek olan şirketler doğrudan operasyonlarını ve tedarik zincirlerini de kapsayan geniş çaplı su risk analizlerini henüz kısıtlı oranda yürütebilmekteler. Bu yüksek standarda ulaşabilen şirketlerin oranı %31 ki bu oran 2017 yılında yalnızca %9’du.</w:t>
      </w:r>
    </w:p>
    <w:p w14:paraId="7C930BFF" w14:textId="77777777" w:rsidR="00066172" w:rsidRPr="00D33869" w:rsidRDefault="00066172" w:rsidP="00066172">
      <w:pPr>
        <w:pStyle w:val="Body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A8DC0E" w14:textId="6E3C6E3B" w:rsidR="00066172" w:rsidRPr="00D33869" w:rsidRDefault="00066172" w:rsidP="00E04355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869">
        <w:rPr>
          <w:rFonts w:ascii="Times New Roman" w:hAnsi="Times New Roman" w:cs="Times New Roman"/>
          <w:b/>
          <w:sz w:val="24"/>
          <w:szCs w:val="24"/>
        </w:rPr>
        <w:t>Fiziksel riskler şirketlerin doğrudan operasyonlarında %85 ve değer zincirlerinde de %38 oranlarında rapor edilmiş ve en fazla raporlanan risk çeşidi olarak karşımıza çıkıyor.</w:t>
      </w:r>
      <w:r w:rsidRPr="00D33869">
        <w:rPr>
          <w:rFonts w:ascii="Times New Roman" w:hAnsi="Times New Roman" w:cs="Times New Roman"/>
          <w:sz w:val="24"/>
          <w:szCs w:val="24"/>
        </w:rPr>
        <w:t xml:space="preserve"> </w:t>
      </w:r>
      <w:r w:rsidR="00D33869" w:rsidRPr="00D33869">
        <w:rPr>
          <w:rFonts w:ascii="Times New Roman" w:hAnsi="Times New Roman" w:cs="Times New Roman"/>
          <w:sz w:val="24"/>
          <w:szCs w:val="24"/>
        </w:rPr>
        <w:t>Artan operasyon maliyetleri doğrudan operasyonlarda en fazla raporlanan potansiyel etki olurken (%54), değer zincirinde en fazla raporlanan risk faktörü ise kuraklık (%15) oldu.</w:t>
      </w:r>
    </w:p>
    <w:p w14:paraId="1F5DC9AB" w14:textId="77777777" w:rsidR="00D33869" w:rsidRPr="00D33869" w:rsidRDefault="00D33869" w:rsidP="00D33869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80EDEDB" w14:textId="510BCCA1" w:rsidR="00066172" w:rsidRPr="00D33869" w:rsidRDefault="00066172" w:rsidP="0006617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869">
        <w:rPr>
          <w:rFonts w:ascii="Times New Roman" w:hAnsi="Times New Roman" w:cs="Times New Roman"/>
          <w:b/>
          <w:sz w:val="24"/>
          <w:szCs w:val="24"/>
        </w:rPr>
        <w:t>Türkiye’den yanıt veren şirketlerin %88’i suyla ilgili konuları uzun dönemli stratejik iş planlarına entegre etmiş durumda.</w:t>
      </w:r>
      <w:r w:rsidRPr="00D33869">
        <w:rPr>
          <w:rFonts w:ascii="Times New Roman" w:hAnsi="Times New Roman" w:cs="Times New Roman"/>
          <w:sz w:val="24"/>
          <w:szCs w:val="24"/>
        </w:rPr>
        <w:t xml:space="preserve"> %73’ü ise iklimle ilgili senaryo analizi uygulamasını bu amaçla kullanıyor. </w:t>
      </w:r>
    </w:p>
    <w:p w14:paraId="0451DA5A" w14:textId="77777777" w:rsidR="00A15D20" w:rsidRDefault="00A15D20" w:rsidP="00A15D20">
      <w:pPr>
        <w:pStyle w:val="ListParagraph"/>
        <w:rPr>
          <w:rFonts w:ascii="Times New Roman" w:hAnsi="Times New Roman"/>
          <w:sz w:val="24"/>
          <w:szCs w:val="24"/>
        </w:rPr>
      </w:pPr>
    </w:p>
    <w:p w14:paraId="4CB62FBA" w14:textId="7292F1B7" w:rsidR="00A15D20" w:rsidRPr="00050064" w:rsidRDefault="00A15D20" w:rsidP="00A15D20">
      <w:pPr>
        <w:pStyle w:val="Body"/>
        <w:rPr>
          <w:rFonts w:ascii="Times New Roman" w:hAnsi="Times New Roman"/>
          <w:b/>
          <w:sz w:val="24"/>
          <w:szCs w:val="24"/>
        </w:rPr>
      </w:pPr>
      <w:r w:rsidRPr="00050064">
        <w:rPr>
          <w:rFonts w:ascii="Times New Roman" w:hAnsi="Times New Roman"/>
          <w:b/>
          <w:sz w:val="24"/>
          <w:szCs w:val="24"/>
        </w:rPr>
        <w:t>CDP Türkiye İklim Değişikliği ve Su 2018 yılı raporunun tamamına ulaşmak için:</w:t>
      </w:r>
    </w:p>
    <w:p w14:paraId="0A4FDCFD" w14:textId="712D42EE" w:rsidR="00A15D20" w:rsidRDefault="001E4815" w:rsidP="00A15D20">
      <w:pPr>
        <w:pStyle w:val="Body"/>
        <w:rPr>
          <w:rFonts w:ascii="Times New Roman" w:hAnsi="Times New Roman"/>
          <w:sz w:val="24"/>
          <w:szCs w:val="24"/>
        </w:rPr>
      </w:pPr>
      <w:hyperlink r:id="rId7" w:history="1">
        <w:r w:rsidR="001D354A" w:rsidRPr="003028B0">
          <w:rPr>
            <w:rStyle w:val="Hyperlink"/>
            <w:rFonts w:ascii="Times New Roman" w:hAnsi="Times New Roman"/>
            <w:sz w:val="24"/>
            <w:szCs w:val="24"/>
          </w:rPr>
          <w:t>https://cdpturkey.sabanciuniv.edu/en/content/cdp-turkey-climate-change-and-water-report-2018</w:t>
        </w:r>
      </w:hyperlink>
      <w:r w:rsidR="001D354A">
        <w:rPr>
          <w:rFonts w:ascii="Times New Roman" w:hAnsi="Times New Roman"/>
          <w:sz w:val="24"/>
          <w:szCs w:val="24"/>
        </w:rPr>
        <w:t xml:space="preserve"> </w:t>
      </w:r>
    </w:p>
    <w:p w14:paraId="29A32411" w14:textId="2F865F89" w:rsidR="002B250E" w:rsidRDefault="002B250E" w:rsidP="00066172"/>
    <w:sectPr w:rsidR="002B250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B1A2D" w14:textId="77777777" w:rsidR="001E4815" w:rsidRDefault="001E4815" w:rsidP="00A15D20">
      <w:pPr>
        <w:spacing w:after="0" w:line="240" w:lineRule="auto"/>
      </w:pPr>
      <w:r>
        <w:separator/>
      </w:r>
    </w:p>
  </w:endnote>
  <w:endnote w:type="continuationSeparator" w:id="0">
    <w:p w14:paraId="2413C418" w14:textId="77777777" w:rsidR="001E4815" w:rsidRDefault="001E4815" w:rsidP="00A1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027820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9C8208" w14:textId="2A220A84" w:rsidR="00A15D20" w:rsidRDefault="00A15D20" w:rsidP="00302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64AF0D" w14:textId="77777777" w:rsidR="00A15D20" w:rsidRDefault="00A15D20" w:rsidP="00A15D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4397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4E6504" w14:textId="045AA22F" w:rsidR="00A15D20" w:rsidRDefault="00A15D20" w:rsidP="00302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B0C3A5" w14:textId="77777777" w:rsidR="00A15D20" w:rsidRDefault="00A15D20" w:rsidP="00A15D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9777" w14:textId="77777777" w:rsidR="001E4815" w:rsidRDefault="001E4815" w:rsidP="00A15D20">
      <w:pPr>
        <w:spacing w:after="0" w:line="240" w:lineRule="auto"/>
      </w:pPr>
      <w:r>
        <w:separator/>
      </w:r>
    </w:p>
  </w:footnote>
  <w:footnote w:type="continuationSeparator" w:id="0">
    <w:p w14:paraId="2AA2500F" w14:textId="77777777" w:rsidR="001E4815" w:rsidRDefault="001E4815" w:rsidP="00A1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3EF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94EE873"/>
    <w:lvl w:ilvl="0" w:tplc="05BE8770">
      <w:numFmt w:val="decimal"/>
      <w:lvlText w:val=""/>
      <w:lvlJc w:val="left"/>
    </w:lvl>
    <w:lvl w:ilvl="1" w:tplc="6AF83074">
      <w:numFmt w:val="decimal"/>
      <w:lvlText w:val=""/>
      <w:lvlJc w:val="left"/>
    </w:lvl>
    <w:lvl w:ilvl="2" w:tplc="31669094">
      <w:numFmt w:val="decimal"/>
      <w:lvlText w:val=""/>
      <w:lvlJc w:val="left"/>
    </w:lvl>
    <w:lvl w:ilvl="3" w:tplc="E6224CD8">
      <w:numFmt w:val="decimal"/>
      <w:lvlText w:val=""/>
      <w:lvlJc w:val="left"/>
    </w:lvl>
    <w:lvl w:ilvl="4" w:tplc="760C2418">
      <w:numFmt w:val="decimal"/>
      <w:lvlText w:val=""/>
      <w:lvlJc w:val="left"/>
    </w:lvl>
    <w:lvl w:ilvl="5" w:tplc="FAFC2BC2">
      <w:numFmt w:val="decimal"/>
      <w:lvlText w:val=""/>
      <w:lvlJc w:val="left"/>
    </w:lvl>
    <w:lvl w:ilvl="6" w:tplc="F6B42354">
      <w:numFmt w:val="decimal"/>
      <w:lvlText w:val=""/>
      <w:lvlJc w:val="left"/>
    </w:lvl>
    <w:lvl w:ilvl="7" w:tplc="BA7CB498">
      <w:numFmt w:val="decimal"/>
      <w:lvlText w:val=""/>
      <w:lvlJc w:val="left"/>
    </w:lvl>
    <w:lvl w:ilvl="8" w:tplc="D2E64D5E">
      <w:numFmt w:val="decimal"/>
      <w:lvlText w:val=""/>
      <w:lvlJc w:val="left"/>
    </w:lvl>
  </w:abstractNum>
  <w:abstractNum w:abstractNumId="2" w15:restartNumberingAfterBreak="0">
    <w:nsid w:val="1337666B"/>
    <w:multiLevelType w:val="hybridMultilevel"/>
    <w:tmpl w:val="CAC2F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16EE"/>
    <w:multiLevelType w:val="hybridMultilevel"/>
    <w:tmpl w:val="B29A4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1DBB"/>
    <w:multiLevelType w:val="hybridMultilevel"/>
    <w:tmpl w:val="5AC8204A"/>
    <w:lvl w:ilvl="0" w:tplc="89482C1E">
      <w:numFmt w:val="decimal"/>
      <w:lvlText w:val=""/>
      <w:lvlJc w:val="left"/>
    </w:lvl>
    <w:lvl w:ilvl="1" w:tplc="DC125642">
      <w:numFmt w:val="decimal"/>
      <w:lvlText w:val=""/>
      <w:lvlJc w:val="left"/>
    </w:lvl>
    <w:lvl w:ilvl="2" w:tplc="778492A0">
      <w:numFmt w:val="decimal"/>
      <w:lvlText w:val=""/>
      <w:lvlJc w:val="left"/>
    </w:lvl>
    <w:lvl w:ilvl="3" w:tplc="828CAA38">
      <w:numFmt w:val="decimal"/>
      <w:lvlText w:val=""/>
      <w:lvlJc w:val="left"/>
    </w:lvl>
    <w:lvl w:ilvl="4" w:tplc="B4C0C8BC">
      <w:numFmt w:val="decimal"/>
      <w:lvlText w:val=""/>
      <w:lvlJc w:val="left"/>
    </w:lvl>
    <w:lvl w:ilvl="5" w:tplc="837A7762">
      <w:numFmt w:val="decimal"/>
      <w:lvlText w:val=""/>
      <w:lvlJc w:val="left"/>
    </w:lvl>
    <w:lvl w:ilvl="6" w:tplc="6854FDD0">
      <w:numFmt w:val="decimal"/>
      <w:lvlText w:val=""/>
      <w:lvlJc w:val="left"/>
    </w:lvl>
    <w:lvl w:ilvl="7" w:tplc="9CD8BC3E">
      <w:numFmt w:val="decimal"/>
      <w:lvlText w:val=""/>
      <w:lvlJc w:val="left"/>
    </w:lvl>
    <w:lvl w:ilvl="8" w:tplc="46520A3A">
      <w:numFmt w:val="decimal"/>
      <w:lvlText w:val=""/>
      <w:lvlJc w:val="left"/>
    </w:lvl>
  </w:abstractNum>
  <w:abstractNum w:abstractNumId="5" w15:restartNumberingAfterBreak="0">
    <w:nsid w:val="51DC1CC3"/>
    <w:multiLevelType w:val="hybridMultilevel"/>
    <w:tmpl w:val="438EF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6B95"/>
    <w:multiLevelType w:val="hybridMultilevel"/>
    <w:tmpl w:val="894EE873"/>
    <w:lvl w:ilvl="0" w:tplc="5950D48A">
      <w:numFmt w:val="decimal"/>
      <w:lvlText w:val=""/>
      <w:lvlJc w:val="left"/>
    </w:lvl>
    <w:lvl w:ilvl="1" w:tplc="3454E5FE">
      <w:numFmt w:val="decimal"/>
      <w:lvlText w:val=""/>
      <w:lvlJc w:val="left"/>
    </w:lvl>
    <w:lvl w:ilvl="2" w:tplc="E7F89474">
      <w:numFmt w:val="decimal"/>
      <w:lvlText w:val=""/>
      <w:lvlJc w:val="left"/>
    </w:lvl>
    <w:lvl w:ilvl="3" w:tplc="A2DE9734">
      <w:numFmt w:val="decimal"/>
      <w:lvlText w:val=""/>
      <w:lvlJc w:val="left"/>
    </w:lvl>
    <w:lvl w:ilvl="4" w:tplc="31EEF962">
      <w:numFmt w:val="decimal"/>
      <w:lvlText w:val=""/>
      <w:lvlJc w:val="left"/>
    </w:lvl>
    <w:lvl w:ilvl="5" w:tplc="DDC8D800">
      <w:numFmt w:val="decimal"/>
      <w:lvlText w:val=""/>
      <w:lvlJc w:val="left"/>
    </w:lvl>
    <w:lvl w:ilvl="6" w:tplc="0A0E3E8A">
      <w:numFmt w:val="decimal"/>
      <w:lvlText w:val=""/>
      <w:lvlJc w:val="left"/>
    </w:lvl>
    <w:lvl w:ilvl="7" w:tplc="898C358A">
      <w:numFmt w:val="decimal"/>
      <w:lvlText w:val=""/>
      <w:lvlJc w:val="left"/>
    </w:lvl>
    <w:lvl w:ilvl="8" w:tplc="735CE97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72"/>
    <w:rsid w:val="00050064"/>
    <w:rsid w:val="00066172"/>
    <w:rsid w:val="000D62A8"/>
    <w:rsid w:val="001179A7"/>
    <w:rsid w:val="001D354A"/>
    <w:rsid w:val="001E207B"/>
    <w:rsid w:val="001E4815"/>
    <w:rsid w:val="001F0B86"/>
    <w:rsid w:val="002B250E"/>
    <w:rsid w:val="0038091F"/>
    <w:rsid w:val="003C252E"/>
    <w:rsid w:val="003C3D91"/>
    <w:rsid w:val="0047039E"/>
    <w:rsid w:val="00561E5E"/>
    <w:rsid w:val="005A6698"/>
    <w:rsid w:val="00621673"/>
    <w:rsid w:val="00626B27"/>
    <w:rsid w:val="00791C26"/>
    <w:rsid w:val="00913415"/>
    <w:rsid w:val="00A15D20"/>
    <w:rsid w:val="00A37BC7"/>
    <w:rsid w:val="00D33869"/>
    <w:rsid w:val="00D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A8D1D1"/>
  <w15:chartTrackingRefBased/>
  <w15:docId w15:val="{23CF6759-677B-4049-A6A1-91BA2120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1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6172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/>
    </w:rPr>
  </w:style>
  <w:style w:type="paragraph" w:customStyle="1" w:styleId="Body">
    <w:name w:val="Body"/>
    <w:rsid w:val="00066172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tr-TR"/>
    </w:rPr>
  </w:style>
  <w:style w:type="numbering" w:customStyle="1" w:styleId="Dash">
    <w:name w:val="Dash"/>
    <w:rsid w:val="00066172"/>
  </w:style>
  <w:style w:type="paragraph" w:styleId="ListParagraph">
    <w:name w:val="List Paragraph"/>
    <w:basedOn w:val="Normal"/>
    <w:uiPriority w:val="34"/>
    <w:qFormat/>
    <w:rsid w:val="000661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D2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2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15D20"/>
  </w:style>
  <w:style w:type="character" w:styleId="Hyperlink">
    <w:name w:val="Hyperlink"/>
    <w:basedOn w:val="DefaultParagraphFont"/>
    <w:uiPriority w:val="99"/>
    <w:unhideWhenUsed/>
    <w:rsid w:val="001D3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dpturkey.sabanciuniv.edu/en/content/cdp-turkey-climate-change-and-water-report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mocal</dc:creator>
  <cp:keywords/>
  <dc:description/>
  <cp:lastModifiedBy>Mirhan Koroglu</cp:lastModifiedBy>
  <cp:revision>17</cp:revision>
  <dcterms:created xsi:type="dcterms:W3CDTF">2019-03-20T09:45:00Z</dcterms:created>
  <dcterms:modified xsi:type="dcterms:W3CDTF">2019-03-22T12:15:00Z</dcterms:modified>
</cp:coreProperties>
</file>